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3F" w:rsidRDefault="00DA3D3F" w:rsidP="00DA3D3F">
      <w:pPr>
        <w:spacing w:after="0" w:line="259" w:lineRule="auto"/>
        <w:ind w:left="126" w:right="141"/>
        <w:jc w:val="center"/>
      </w:pPr>
      <w:r>
        <w:rPr>
          <w:b/>
          <w:sz w:val="28"/>
        </w:rPr>
        <w:t xml:space="preserve">2.5.2. Культурные практики. </w:t>
      </w:r>
    </w:p>
    <w:p w:rsidR="00DA3D3F" w:rsidRDefault="00DA3D3F" w:rsidP="00DA3D3F">
      <w:pPr>
        <w:ind w:left="-15" w:right="20" w:firstLine="567"/>
      </w:pPr>
      <w: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DA3D3F" w:rsidRDefault="00DA3D3F" w:rsidP="00DA3D3F">
      <w:pPr>
        <w:ind w:left="-15" w:right="20" w:firstLine="567"/>
      </w:pPr>
      <w:r>
        <w:t xml:space="preserve"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DA3D3F" w:rsidRDefault="00DA3D3F" w:rsidP="00DA3D3F">
      <w:pPr>
        <w:spacing w:after="24"/>
        <w:ind w:left="-15" w:right="20" w:firstLine="567"/>
      </w:pPr>
      <w: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:rsidR="00DA3D3F" w:rsidRDefault="00DA3D3F" w:rsidP="00DA3D3F">
      <w:pPr>
        <w:ind w:left="-15" w:right="20" w:firstLine="567"/>
      </w:pPr>
      <w:r>
        <w:t xml:space="preserve"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</w:r>
    </w:p>
    <w:p w:rsidR="00DA3D3F" w:rsidRDefault="00DA3D3F" w:rsidP="00DA3D3F">
      <w:pPr>
        <w:ind w:left="-15" w:right="20" w:firstLine="567"/>
      </w:pPr>
      <w:r>
        <w:t xml:space="preserve">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DA3D3F" w:rsidRDefault="00DA3D3F" w:rsidP="00DA3D3F">
      <w:pPr>
        <w:ind w:left="-15" w:right="20" w:firstLine="567"/>
      </w:pPr>
      <w:r>
        <w:t xml:space="preserve">  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</w:t>
      </w:r>
      <w:r>
        <w:lastRenderedPageBreak/>
        <w:t xml:space="preserve">сравнивать, классифицировать, составлять </w:t>
      </w:r>
      <w:proofErr w:type="spellStart"/>
      <w:r>
        <w:t>сериационные</w:t>
      </w:r>
      <w:proofErr w:type="spellEnd"/>
      <w: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 </w:t>
      </w:r>
    </w:p>
    <w:p w:rsidR="00DA3D3F" w:rsidRDefault="00DA3D3F" w:rsidP="00DA3D3F">
      <w:pPr>
        <w:ind w:left="-15" w:right="20" w:firstLine="567"/>
      </w:pPr>
      <w:r>
        <w:t xml:space="preserve"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</w:t>
      </w:r>
    </w:p>
    <w:p w:rsidR="00DA3D3F" w:rsidRDefault="00DA3D3F" w:rsidP="00DA3D3F">
      <w:pPr>
        <w:ind w:left="-5" w:right="20"/>
      </w:pPr>
      <w:r>
        <w:t xml:space="preserve">Например, для занятий рукоделием, художественным трудом и пр. </w:t>
      </w:r>
    </w:p>
    <w:p w:rsidR="00DA3D3F" w:rsidRDefault="00DA3D3F" w:rsidP="00DA3D3F">
      <w:pPr>
        <w:spacing w:after="66" w:line="259" w:lineRule="auto"/>
        <w:ind w:left="10" w:right="16"/>
        <w:jc w:val="right"/>
      </w:pPr>
      <w:r>
        <w:t>Коллективная и индивидуальная трудовая деятельность носит общественно полезный характер и организуется как хозяйственно-</w:t>
      </w:r>
    </w:p>
    <w:p w:rsidR="00DA3D3F" w:rsidRDefault="00DA3D3F" w:rsidP="00DA3D3F">
      <w:pPr>
        <w:spacing w:after="5"/>
        <w:ind w:left="-5" w:right="20"/>
      </w:pPr>
      <w:r>
        <w:t xml:space="preserve">бытовой труд и труд в природе.  </w:t>
      </w:r>
    </w:p>
    <w:p w:rsidR="006736CA" w:rsidRDefault="006736CA">
      <w:bookmarkStart w:id="0" w:name="_GoBack"/>
      <w:bookmarkEnd w:id="0"/>
    </w:p>
    <w:sectPr w:rsidR="006736CA" w:rsidSect="00DA3D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39"/>
    <w:rsid w:val="006736CA"/>
    <w:rsid w:val="00DA3D3F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D9F1-4870-42A1-BFE7-1E628C4B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F"/>
    <w:pPr>
      <w:spacing w:after="48" w:line="271" w:lineRule="auto"/>
      <w:ind w:left="577" w:right="45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2021-01-22T06:19:00Z</dcterms:created>
  <dcterms:modified xsi:type="dcterms:W3CDTF">2021-01-22T06:19:00Z</dcterms:modified>
</cp:coreProperties>
</file>